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8"/>
          <w:szCs w:val="28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КАРТКА ЗАХОДУ</w:t>
      </w:r>
    </w:p>
    <w:p>
      <w:pPr>
        <w:pStyle w:val="Normal.0"/>
        <w:jc w:val="center"/>
        <w:rPr>
          <w:b w:val="1"/>
          <w:bCs w:val="1"/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(</w:t>
      </w:r>
      <w:r>
        <w:rPr>
          <w:i w:val="1"/>
          <w:iCs w:val="1"/>
          <w:sz w:val="28"/>
          <w:szCs w:val="28"/>
          <w:rtl w:val="0"/>
          <w:lang w:val="ru-RU"/>
        </w:rPr>
        <w:t>майстер</w:t>
      </w:r>
      <w:r>
        <w:rPr>
          <w:i w:val="1"/>
          <w:iCs w:val="1"/>
          <w:sz w:val="28"/>
          <w:szCs w:val="28"/>
          <w:rtl w:val="0"/>
          <w:lang w:val="ru-RU"/>
        </w:rPr>
        <w:t>-</w:t>
      </w:r>
      <w:r>
        <w:rPr>
          <w:i w:val="1"/>
          <w:iCs w:val="1"/>
          <w:sz w:val="28"/>
          <w:szCs w:val="28"/>
          <w:rtl w:val="0"/>
          <w:lang w:val="ru-RU"/>
        </w:rPr>
        <w:t>клас</w:t>
      </w:r>
      <w:r>
        <w:rPr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i w:val="1"/>
          <w:iCs w:val="1"/>
          <w:sz w:val="28"/>
          <w:szCs w:val="28"/>
          <w:rtl w:val="0"/>
          <w:lang w:val="ru-RU"/>
        </w:rPr>
        <w:t>симуляційний тренінг</w:t>
      </w:r>
      <w:r>
        <w:rPr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i w:val="1"/>
          <w:iCs w:val="1"/>
          <w:sz w:val="28"/>
          <w:szCs w:val="28"/>
          <w:rtl w:val="0"/>
          <w:lang w:val="ru-RU"/>
        </w:rPr>
        <w:t>тренінг з оволодіння практичними навичками</w:t>
      </w:r>
      <w:r>
        <w:rPr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i w:val="1"/>
          <w:iCs w:val="1"/>
          <w:sz w:val="28"/>
          <w:szCs w:val="28"/>
          <w:rtl w:val="0"/>
          <w:lang w:val="ru-RU"/>
        </w:rPr>
        <w:t>тренінг</w:t>
      </w:r>
      <w:r>
        <w:rPr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i w:val="1"/>
          <w:iCs w:val="1"/>
          <w:sz w:val="28"/>
          <w:szCs w:val="28"/>
          <w:rtl w:val="0"/>
          <w:lang w:val="ru-RU"/>
        </w:rPr>
        <w:t>семінар</w:t>
      </w:r>
      <w:r>
        <w:rPr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i w:val="1"/>
          <w:iCs w:val="1"/>
          <w:sz w:val="28"/>
          <w:szCs w:val="28"/>
          <w:rtl w:val="0"/>
          <w:lang w:val="ru-RU"/>
        </w:rPr>
        <w:t xml:space="preserve">фахова </w:t>
      </w:r>
      <w:r>
        <w:rPr>
          <w:i w:val="1"/>
          <w:iCs w:val="1"/>
          <w:sz w:val="28"/>
          <w:szCs w:val="28"/>
          <w:rtl w:val="0"/>
          <w:lang w:val="ru-RU"/>
        </w:rPr>
        <w:t>(</w:t>
      </w:r>
      <w:r>
        <w:rPr>
          <w:i w:val="1"/>
          <w:iCs w:val="1"/>
          <w:sz w:val="28"/>
          <w:szCs w:val="28"/>
          <w:rtl w:val="0"/>
          <w:lang w:val="ru-RU"/>
        </w:rPr>
        <w:t>тематична</w:t>
      </w:r>
      <w:r>
        <w:rPr>
          <w:i w:val="1"/>
          <w:iCs w:val="1"/>
          <w:sz w:val="28"/>
          <w:szCs w:val="28"/>
          <w:rtl w:val="0"/>
          <w:lang w:val="ru-RU"/>
        </w:rPr>
        <w:t xml:space="preserve">) </w:t>
      </w:r>
      <w:r>
        <w:rPr>
          <w:i w:val="1"/>
          <w:iCs w:val="1"/>
          <w:sz w:val="28"/>
          <w:szCs w:val="28"/>
          <w:rtl w:val="0"/>
          <w:lang w:val="ru-RU"/>
        </w:rPr>
        <w:t>школа</w:t>
      </w:r>
      <w:r>
        <w:rPr>
          <w:sz w:val="28"/>
          <w:szCs w:val="28"/>
          <w:rtl w:val="0"/>
          <w:lang w:val="ru-RU"/>
        </w:rPr>
        <w:t>)</w:t>
      </w:r>
    </w:p>
    <w:p>
      <w:pPr>
        <w:pStyle w:val="Normal.0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БПР МЕДИЧНИХ</w:t>
      </w:r>
      <w:r>
        <w:rPr>
          <w:b w:val="1"/>
          <w:bCs w:val="1"/>
          <w:spacing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ТА</w:t>
      </w:r>
      <w:r>
        <w:rPr>
          <w:b w:val="1"/>
          <w:bCs w:val="1"/>
          <w:spacing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ФАРМАЦЕВТИЧНИХ</w:t>
      </w:r>
      <w:r>
        <w:rPr>
          <w:b w:val="1"/>
          <w:bCs w:val="1"/>
          <w:spacing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ПРАЦІВНИКІВ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</w:p>
    <w:tbl>
      <w:tblPr>
        <w:tblW w:w="978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8"/>
        <w:gridCol w:w="5103"/>
      </w:tblGrid>
      <w:tr>
        <w:tblPrEx>
          <w:shd w:val="clear" w:color="auto" w:fill="cdd4e9"/>
        </w:tblPrEx>
        <w:trPr>
          <w:trHeight w:val="131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Назва заходу БПР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Фахова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з майстер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класом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«Методи і алгоритми комплексної допологової діагностики у лікарській практиці»</w:t>
            </w:r>
          </w:p>
        </w:tc>
      </w:tr>
      <w:tr>
        <w:tblPrEx>
          <w:shd w:val="clear" w:color="auto" w:fill="cdd4e9"/>
        </w:tblPrEx>
        <w:trPr>
          <w:trHeight w:val="125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Назва Провайдера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з Єдиного державного реєстру юридичних осіб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фізичних осіб – підприємців та громадських формувань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ГО «Міжнародна міждисциплінарна асоціація медичних професіоналів»</w:t>
            </w:r>
          </w:p>
        </w:tc>
      </w:tr>
      <w:tr>
        <w:tblPrEx>
          <w:shd w:val="clear" w:color="auto" w:fill="cdd4e9"/>
        </w:tblPrEx>
        <w:trPr>
          <w:trHeight w:val="94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5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Співорганізатори заходу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Тренінг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центр Медико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біологічного центру «Геном»</w:t>
            </w:r>
          </w:p>
        </w:tc>
      </w:tr>
      <w:tr>
        <w:tblPrEx>
          <w:shd w:val="clear" w:color="auto" w:fill="cdd4e9"/>
        </w:tblPrEx>
        <w:trPr>
          <w:trHeight w:val="95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7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Цільова аудиторія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відповідно до Номенклатури лікарських спеціальностей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Акушерство і гінекологія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ультразвукова діагностика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генетика медична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генетика лабораторна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сімейна медицина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9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Вид заходу БПР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Фахова школа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1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Запланована кількість учасників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24</w:t>
            </w:r>
          </w:p>
        </w:tc>
      </w:tr>
      <w:tr>
        <w:tblPrEx>
          <w:shd w:val="clear" w:color="auto" w:fill="cdd4e9"/>
        </w:tblPrEx>
        <w:trPr>
          <w:trHeight w:val="184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3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Мета навчання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Надання та удосконалення знань і навичок лікарів різних спеціальностей з питань пренатальної діагностики вродженої та спадкової патології плода у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II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III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триместрах вагітності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270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5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Метод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методи навчання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Надання навчального матеріалу у вигляді тематичних лекцій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інтерактивних вікторин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демонстрація проведення техніки УЗД та допплерометрії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у вагітних жінок різних гестаційних термінів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відпрацювання учасниками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алгоритму консультування і схем обстеження вагітних жінок з високим ризиком патології плода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у тому числі ультразвукового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під керівництвом керівник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ів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тренінгу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7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Кількість балів БПР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9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Дата заходу БПР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23-24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вересня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2022</w:t>
            </w:r>
          </w:p>
        </w:tc>
      </w:tr>
      <w:tr>
        <w:tblPrEx>
          <w:shd w:val="clear" w:color="auto" w:fill="cdd4e9"/>
        </w:tblPrEx>
        <w:trPr>
          <w:trHeight w:val="94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21"/>
              </w:numPr>
              <w:ind w:righ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Місце проведення заходу БПР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повна адреса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widowControl w:val="1"/>
              <w:spacing w:before="0" w:line="240" w:lineRule="auto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pt-PT"/>
              </w:rPr>
              <w:t>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Чернівці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вул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Небесної сотні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, 5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</w:p>
          <w:p>
            <w:pPr>
              <w:pStyle w:val="Стандартний A"/>
              <w:widowControl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ОКНП «Чернівецький обласний медичний діагностичний центр»</w:t>
            </w:r>
          </w:p>
        </w:tc>
      </w:tr>
      <w:tr>
        <w:tblPrEx>
          <w:shd w:val="clear" w:color="auto" w:fill="cdd4e9"/>
        </w:tblPrEx>
        <w:trPr>
          <w:trHeight w:val="65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23"/>
              </w:numPr>
              <w:ind w:righ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Прізвище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ім’я та по батькові лектора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тренера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1)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Ніколенко Маргарита Іванівна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2)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Краснов Олександр Вікторович</w:t>
            </w:r>
          </w:p>
        </w:tc>
      </w:tr>
      <w:tr>
        <w:tblPrEx>
          <w:shd w:val="clear" w:color="auto" w:fill="cdd4e9"/>
        </w:tblPrEx>
        <w:trPr>
          <w:trHeight w:val="480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25"/>
              </w:numPr>
              <w:ind w:righ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Резюме лектора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тренера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center" w:pos="142"/>
              </w:tabs>
              <w:jc w:val="both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1)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Директор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МБЦ «Геном»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д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мед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н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.,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генетик вищої категорії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викладач кафедри акушерства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гінекології та перинатології НУОЗ України імені П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Л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Шупика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голова групи експертів та фахівців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що залучаються до роботи Постійної робочої групи МОЗ України з питань профільного супроводу закупівель за напрямом «Закупівля медикаментів для громадян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які страждають на орфанні метаболічні захворювання»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. </w:t>
            </w:r>
          </w:p>
          <w:p>
            <w:pPr>
              <w:pStyle w:val="Normal.0"/>
              <w:jc w:val="center"/>
              <w:rPr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2)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Головний лікар МБЦ «Геном»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К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мед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н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.,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лікар акушер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гінеколог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лікар з УЗД вищої категорії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викладач кафедри акушерства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гінекології та перинатології НУОЗ України імені П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Л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Шупика</w:t>
            </w:r>
          </w:p>
        </w:tc>
      </w:tr>
      <w:tr>
        <w:tblPrEx>
          <w:shd w:val="clear" w:color="auto" w:fill="cdd4e9"/>
        </w:tblPrEx>
        <w:trPr>
          <w:trHeight w:val="1048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27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Програма заходу БПР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widowControl w:val="1"/>
              <w:spacing w:before="0" w:line="240" w:lineRule="auto"/>
              <w:rPr>
                <w:shd w:val="nil" w:color="auto" w:fill="auto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>1-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pt-PT"/>
              </w:rPr>
              <w:t>й день</w:t>
            </w: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>:</w:t>
            </w:r>
          </w:p>
          <w:p>
            <w:pPr>
              <w:pStyle w:val="Стандартний A"/>
              <w:widowControl w:val="1"/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clear" w:color="auto" w:fill="ffffff"/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 xml:space="preserve">-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 xml:space="preserve">Інвазивні маніпуляції для постановки пренатального діагнозу 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>(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>практичний тренінг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>)</w:t>
            </w:r>
          </w:p>
          <w:p>
            <w:pPr>
              <w:pStyle w:val="Стандартний A"/>
              <w:widowControl w:val="1"/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clear" w:color="auto" w:fill="ffffff"/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>Основні методи комплексної пренатальної діагностики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>ультразвуковий та біохімічний скринінг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>інвазивні обстеження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 xml:space="preserve">НІПТ 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>(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>лекція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>)</w:t>
            </w:r>
          </w:p>
          <w:p>
            <w:pPr>
              <w:pStyle w:val="Стандартний A"/>
              <w:widowControl w:val="1"/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clear" w:color="auto" w:fill="ffffff"/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 xml:space="preserve">Методологія проведення УЗД вагітних у </w:t>
            </w:r>
            <w:r>
              <w:rPr>
                <w:rFonts w:ascii="Times New Roman" w:hAnsi="Times New Roman"/>
                <w:shd w:val="clear" w:color="auto" w:fill="ffffff"/>
                <w:rtl w:val="0"/>
                <w:lang w:val="en-US"/>
              </w:rPr>
              <w:t>I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 xml:space="preserve"> триместрі 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>(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>лекція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>)</w:t>
            </w:r>
          </w:p>
          <w:p>
            <w:pPr>
              <w:pStyle w:val="Стандартний A"/>
              <w:widowControl w:val="1"/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clear" w:color="auto" w:fill="ffffff"/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 xml:space="preserve">УЗД з оцінкою ранніх маркерів вродженої патології плода 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>(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>майстер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>-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>клас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>огляд вагітних у реальному часі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>)</w:t>
            </w:r>
          </w:p>
          <w:p>
            <w:pPr>
              <w:pStyle w:val="Стандартний A"/>
              <w:widowControl w:val="1"/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clear" w:color="auto" w:fill="ffffff"/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 xml:space="preserve">Відкриття особистих кабінетів на сторінці </w:t>
            </w:r>
            <w:r>
              <w:rPr>
                <w:rFonts w:ascii="Times New Roman" w:hAnsi="Times New Roman"/>
                <w:shd w:val="clear" w:color="auto" w:fill="ffffff"/>
                <w:rtl w:val="0"/>
                <w:lang w:val="en-US"/>
              </w:rPr>
              <w:t>Fetal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  <w:rtl w:val="0"/>
                <w:lang w:val="en-US"/>
              </w:rPr>
              <w:t>Medicine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  <w:rtl w:val="0"/>
                <w:lang w:val="en-US"/>
              </w:rPr>
              <w:t>Foundation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 xml:space="preserve">проходження теоретичного циклу </w:t>
            </w:r>
            <w:r>
              <w:rPr>
                <w:rFonts w:ascii="Times New Roman" w:hAnsi="Times New Roman"/>
                <w:shd w:val="clear" w:color="auto" w:fill="ffffff"/>
                <w:rtl w:val="0"/>
                <w:lang w:val="en-US"/>
              </w:rPr>
              <w:t>FMF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 (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>практичний тренінг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>)</w:t>
            </w:r>
          </w:p>
          <w:p>
            <w:pPr>
              <w:pStyle w:val="Стандартний A"/>
              <w:widowControl w:val="1"/>
              <w:spacing w:before="0" w:line="240" w:lineRule="auto"/>
              <w:rPr>
                <w:shd w:val="nil" w:color="auto" w:fill="auto"/>
              </w:rPr>
            </w:pPr>
          </w:p>
          <w:p>
            <w:pPr>
              <w:pStyle w:val="Стандартний A"/>
              <w:widowControl w:val="1"/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clear" w:color="auto" w:fill="ffffff"/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>2-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pt-PT"/>
              </w:rPr>
              <w:t>й день</w:t>
            </w: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>:</w:t>
            </w:r>
          </w:p>
          <w:p>
            <w:pPr>
              <w:pStyle w:val="Стандартний A"/>
              <w:widowControl w:val="1"/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clear" w:color="auto" w:fill="ffffff"/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 xml:space="preserve">-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 xml:space="preserve">Схеми обстеження вагітних жінок залежно від анамнезу 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>(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>лекція з практичними навичками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>)</w:t>
            </w:r>
          </w:p>
          <w:p>
            <w:pPr>
              <w:pStyle w:val="Стандартний A"/>
              <w:widowControl w:val="1"/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clear" w:color="auto" w:fill="ffffff"/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>Трактовка результатів пренатального скринінгу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 xml:space="preserve">про що можуть казати змінені ультразвукові та біохімічні маркери 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>(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>лекція з практичними навичками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>)</w:t>
            </w:r>
          </w:p>
          <w:p>
            <w:pPr>
              <w:pStyle w:val="Стандартний A"/>
              <w:widowControl w:val="1"/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clear" w:color="auto" w:fill="ffffff"/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 xml:space="preserve">Методологія проведення УЗД вагітних у </w:t>
            </w:r>
            <w:r>
              <w:rPr>
                <w:rFonts w:ascii="Times New Roman" w:hAnsi="Times New Roman"/>
                <w:shd w:val="clear" w:color="auto" w:fill="ffffff"/>
                <w:rtl w:val="0"/>
                <w:lang w:val="en-US"/>
              </w:rPr>
              <w:t>II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 xml:space="preserve"> триместрі 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>(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>лекція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>)</w:t>
            </w:r>
          </w:p>
          <w:p>
            <w:pPr>
              <w:pStyle w:val="Стандартний A"/>
              <w:widowControl w:val="1"/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clear" w:color="auto" w:fill="ffffff"/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ru-RU"/>
              </w:rPr>
              <w:t>Неінвазивне пренатальне тестування НІПТ у клінічній практиці</w:t>
            </w:r>
            <w:r>
              <w:rPr>
                <w:rFonts w:ascii="Times New Roman" w:hAnsi="Times New Roman"/>
                <w:shd w:val="clear" w:color="auto" w:fill="ffffff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ru-RU"/>
              </w:rPr>
              <w:t xml:space="preserve">показання і протипоказання </w:t>
            </w:r>
            <w:r>
              <w:rPr>
                <w:rFonts w:ascii="Times New Roman" w:hAnsi="Times New Roman"/>
                <w:shd w:val="clear" w:color="auto" w:fill="ffffff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ru-RU"/>
              </w:rPr>
              <w:t>лекція</w:t>
            </w:r>
            <w:r>
              <w:rPr>
                <w:rFonts w:ascii="Times New Roman" w:hAnsi="Times New Roman"/>
                <w:shd w:val="clear" w:color="auto" w:fill="ffffff"/>
                <w:rtl w:val="0"/>
                <w:lang w:val="ru-RU"/>
              </w:rPr>
              <w:t>)</w:t>
            </w:r>
          </w:p>
          <w:p>
            <w:pPr>
              <w:pStyle w:val="Стандартний A"/>
              <w:widowControl w:val="1"/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clear" w:color="auto" w:fill="ffffff"/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 xml:space="preserve">УЗД з доплерометрією у </w:t>
            </w:r>
            <w:r>
              <w:rPr>
                <w:rFonts w:ascii="Times New Roman" w:hAnsi="Times New Roman"/>
                <w:shd w:val="clear" w:color="auto" w:fill="ffffff"/>
                <w:rtl w:val="0"/>
                <w:lang w:val="en-US"/>
              </w:rPr>
              <w:t>II</w:t>
            </w:r>
            <w:r>
              <w:rPr>
                <w:rFonts w:ascii="Times New Roman" w:hAnsi="Times New Roman"/>
                <w:shd w:val="clear" w:color="auto" w:fill="ffffff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hd w:val="clear" w:color="auto" w:fill="ffffff"/>
                <w:rtl w:val="0"/>
                <w:lang w:val="en-US"/>
              </w:rPr>
              <w:t>III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 xml:space="preserve"> триместрах  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>(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>майстер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>-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>клас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>огляд вагітних у реальному часі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>)</w:t>
            </w:r>
          </w:p>
          <w:p>
            <w:pPr>
              <w:pStyle w:val="Стандартний A"/>
              <w:widowControl w:val="1"/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clear" w:color="auto" w:fill="ffffff"/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>Прогнозування перинатальних ускладнень у рамках пренатального скринінгу</w:t>
            </w:r>
            <w:r>
              <w:rPr>
                <w:rFonts w:ascii="Times New Roman" w:hAnsi="Times New Roman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>прееклампсія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ru-RU"/>
              </w:rPr>
              <w:t xml:space="preserve">затримка росту плода 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>(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>лекція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>)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Мультидисциплінарний підхід  у процесі постановки і верифікації пренатального діагнозу </w:t>
            </w:r>
            <w:r>
              <w:rPr>
                <w:sz w:val="24"/>
                <w:szCs w:val="24"/>
                <w:shd w:val="clear" w:color="auto" w:fill="ffffff"/>
                <w:rtl w:val="0"/>
              </w:rPr>
              <w:t xml:space="preserve"> (</w:t>
            </w:r>
            <w:r>
              <w:rPr>
                <w:sz w:val="24"/>
                <w:szCs w:val="24"/>
                <w:shd w:val="clear" w:color="auto" w:fill="ffffff"/>
                <w:rtl w:val="0"/>
              </w:rPr>
              <w:t>лекція</w:t>
            </w:r>
            <w:r>
              <w:rPr>
                <w:sz w:val="24"/>
                <w:szCs w:val="24"/>
                <w:shd w:val="clear" w:color="auto" w:fill="ffffff"/>
                <w:rtl w:val="0"/>
              </w:rPr>
              <w:t>)</w:t>
            </w:r>
          </w:p>
        </w:tc>
      </w:tr>
      <w:tr>
        <w:tblPrEx>
          <w:shd w:val="clear" w:color="auto" w:fill="cdd4e9"/>
        </w:tblPrEx>
        <w:trPr>
          <w:trHeight w:val="125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29"/>
              </w:numPr>
              <w:ind w:righ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Опис вимог рівня знань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володіння темою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навичок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досвіду учасників до моменту реєстрації на даний захід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за потреби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</w:p>
        </w:tc>
      </w:tr>
      <w:tr>
        <w:tblPrEx>
          <w:shd w:val="clear" w:color="auto" w:fill="cdd4e9"/>
        </w:tblPrEx>
        <w:trPr>
          <w:trHeight w:val="2511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1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Технічна підтримка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так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ні</w:t>
            </w:r>
            <w:r>
              <w:rPr>
                <w:sz w:val="24"/>
                <w:szCs w:val="24"/>
                <w:shd w:val="nil" w:color="auto" w:fill="auto"/>
                <w:rtl w:val="0"/>
                <w:lang w:val="zh-TW" w:eastAsia="zh-TW"/>
              </w:rPr>
              <w:t xml:space="preserve">?). 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У разі якщо під час проведення заходу БПР з оволодіння певними практичними навичками планується використання медичних виробів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які надані дистриб’ютором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Провайдер розміщує копію угоди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Ні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3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Методи оцінювання набутих знань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Т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естування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оцінка ультразвукових знімків</w:t>
            </w:r>
          </w:p>
        </w:tc>
      </w:tr>
      <w:tr>
        <w:tblPrEx>
          <w:shd w:val="clear" w:color="auto" w:fill="cdd4e9"/>
        </w:tblPrEx>
        <w:trPr>
          <w:trHeight w:val="89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5"/>
              </w:numPr>
              <w:ind w:righ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Код заходу БПР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>Реєстраційний номер заходу БПР вноситься після присвоєння Адміністратором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jc w:val="center"/>
      </w:pPr>
      <w:r>
        <w:rPr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1920" w:h="16840" w:orient="portrait"/>
      <w:pgMar w:top="568" w:right="850" w:bottom="1134" w:left="1701" w:header="0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9"/>
        <w:tab w:val="clear" w:pos="9355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4"/>
  </w:num>
  <w:num w:numId="9">
    <w:abstractNumId w:val="4"/>
    <w:lvlOverride w:ilvl="0">
      <w:startOverride w:val="5"/>
    </w:lvlOverride>
  </w:num>
  <w:num w:numId="10">
    <w:abstractNumId w:val="5"/>
  </w:num>
  <w:num w:numId="11">
    <w:abstractNumId w:val="5"/>
    <w:lvlOverride w:ilvl="0">
      <w:startOverride w:val="6"/>
    </w:lvlOverride>
  </w:num>
  <w:num w:numId="12">
    <w:abstractNumId w:val="6"/>
  </w:num>
  <w:num w:numId="13">
    <w:abstractNumId w:val="6"/>
    <w:lvlOverride w:ilvl="0">
      <w:startOverride w:val="7"/>
    </w:lvlOverride>
  </w:num>
  <w:num w:numId="14">
    <w:abstractNumId w:val="7"/>
  </w:num>
  <w:num w:numId="15">
    <w:abstractNumId w:val="7"/>
    <w:lvlOverride w:ilvl="0">
      <w:startOverride w:val="8"/>
    </w:lvlOverride>
  </w:num>
  <w:num w:numId="16">
    <w:abstractNumId w:val="8"/>
  </w:num>
  <w:num w:numId="17">
    <w:abstractNumId w:val="8"/>
    <w:lvlOverride w:ilvl="0">
      <w:startOverride w:val="9"/>
    </w:lvlOverride>
  </w:num>
  <w:num w:numId="18">
    <w:abstractNumId w:val="9"/>
  </w:num>
  <w:num w:numId="19">
    <w:abstractNumId w:val="9"/>
    <w:lvlOverride w:ilvl="0">
      <w:startOverride w:val="10"/>
    </w:lvlOverride>
  </w:num>
  <w:num w:numId="20">
    <w:abstractNumId w:val="10"/>
  </w:num>
  <w:num w:numId="21">
    <w:abstractNumId w:val="10"/>
    <w:lvlOverride w:ilvl="0">
      <w:startOverride w:val="11"/>
    </w:lvlOverride>
  </w:num>
  <w:num w:numId="22">
    <w:abstractNumId w:val="11"/>
  </w:num>
  <w:num w:numId="23">
    <w:abstractNumId w:val="11"/>
    <w:lvlOverride w:ilvl="0">
      <w:startOverride w:val="12"/>
    </w:lvlOverride>
  </w:num>
  <w:num w:numId="24">
    <w:abstractNumId w:val="12"/>
  </w:num>
  <w:num w:numId="25">
    <w:abstractNumId w:val="12"/>
    <w:lvlOverride w:ilvl="0">
      <w:startOverride w:val="13"/>
    </w:lvlOverride>
  </w:num>
  <w:num w:numId="26">
    <w:abstractNumId w:val="13"/>
  </w:num>
  <w:num w:numId="27">
    <w:abstractNumId w:val="13"/>
    <w:lvlOverride w:ilvl="0">
      <w:startOverride w:val="14"/>
    </w:lvlOverride>
  </w:num>
  <w:num w:numId="28">
    <w:abstractNumId w:val="14"/>
  </w:num>
  <w:num w:numId="29">
    <w:abstractNumId w:val="14"/>
    <w:lvlOverride w:ilvl="0">
      <w:startOverride w:val="15"/>
    </w:lvlOverride>
  </w:num>
  <w:num w:numId="30">
    <w:abstractNumId w:val="15"/>
  </w:num>
  <w:num w:numId="31">
    <w:abstractNumId w:val="15"/>
    <w:lvlOverride w:ilvl="0">
      <w:startOverride w:val="16"/>
    </w:lvlOverride>
  </w:num>
  <w:num w:numId="32">
    <w:abstractNumId w:val="16"/>
  </w:num>
  <w:num w:numId="33">
    <w:abstractNumId w:val="16"/>
    <w:lvlOverride w:ilvl="0">
      <w:startOverride w:val="17"/>
    </w:lvlOverride>
  </w:num>
  <w:num w:numId="34">
    <w:abstractNumId w:val="17"/>
  </w:num>
  <w:num w:numId="35">
    <w:abstractNumId w:val="17"/>
    <w:lvlOverride w:ilvl="0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61" w:right="406" w:firstLine="708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Стандартний A">
    <w:name w:val="Стандартний A"/>
    <w:next w:val="Стандартний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